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436C01" w14:textId="77777777" w:rsidR="00C0327C" w:rsidRDefault="009553EF" w:rsidP="00C0327C">
      <w:pPr>
        <w:rPr>
          <w:rFonts w:eastAsia="Times New Roman" w:cs="Arial Unicode MS"/>
          <w:bCs/>
          <w:noProof/>
          <w:sz w:val="44"/>
          <w:szCs w:val="44"/>
          <w:lang w:eastAsia="en-GB"/>
        </w:rPr>
      </w:pPr>
      <w:bookmarkStart w:id="0" w:name="_GoBack"/>
      <w:bookmarkEnd w:id="0"/>
      <w:r>
        <w:rPr>
          <w:rFonts w:eastAsia="Times New Roman" w:cs="Arial Unicode MS"/>
          <w:bCs/>
          <w:noProof/>
          <w:color w:val="333399"/>
          <w:sz w:val="44"/>
          <w:szCs w:val="44"/>
          <w:lang w:eastAsia="en-GB"/>
        </w:rPr>
        <w:drawing>
          <wp:inline distT="0" distB="0" distL="0" distR="0" wp14:anchorId="09CFA5DB" wp14:editId="7E1A8073">
            <wp:extent cx="2042160" cy="1097280"/>
            <wp:effectExtent l="19050" t="0" r="0" b="0"/>
            <wp:docPr id="1" name="Picture 1" descr="L:\Marketing\Marketing scans\VITAX LOGOS\Vitax Amenity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\Marketing scans\VITAX LOGOS\Vitax Amenity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109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0933250" w14:textId="47DB8465" w:rsidR="000E3B10" w:rsidRDefault="00C0327C" w:rsidP="00C0327C">
      <w:pPr>
        <w:jc w:val="center"/>
        <w:rPr>
          <w:sz w:val="72"/>
          <w:szCs w:val="96"/>
        </w:rPr>
      </w:pPr>
      <w:r>
        <w:rPr>
          <w:rFonts w:eastAsia="Times New Roman" w:cs="Arial Unicode MS"/>
          <w:bCs/>
          <w:noProof/>
          <w:sz w:val="44"/>
          <w:szCs w:val="44"/>
          <w:lang w:eastAsia="en-GB"/>
        </w:rPr>
        <w:drawing>
          <wp:inline distT="0" distB="0" distL="0" distR="0" wp14:anchorId="59BEADF5" wp14:editId="6F9E8ECB">
            <wp:extent cx="1741170" cy="733124"/>
            <wp:effectExtent l="0" t="0" r="0" b="0"/>
            <wp:docPr id="4" name="Picture 4" descr="L:\Marketing\Marketing scans\VITAX LOGOS\Supaturf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Marketing\Marketing scans\VITAX LOGOS\Supaturf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6014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60618">
        <w:rPr>
          <w:noProof/>
        </w:rPr>
        <w:drawing>
          <wp:inline distT="0" distB="0" distL="0" distR="0" wp14:anchorId="10F51962" wp14:editId="5B7B7E73">
            <wp:extent cx="762000" cy="685919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623" cy="704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0"/>
      </w:tblGrid>
      <w:tr w:rsidR="00C0327C" w14:paraId="2B98ADDA" w14:textId="77777777" w:rsidTr="00681B8D">
        <w:trPr>
          <w:trHeight w:val="1295"/>
        </w:trPr>
        <w:tc>
          <w:tcPr>
            <w:tcW w:w="9242" w:type="dxa"/>
            <w:shd w:val="clear" w:color="auto" w:fill="538135" w:themeFill="accent6" w:themeFillShade="BF"/>
          </w:tcPr>
          <w:p w14:paraId="3F5E9C23" w14:textId="2225EE2A" w:rsidR="00C0327C" w:rsidRPr="0031483B" w:rsidRDefault="0031483B" w:rsidP="0031483B">
            <w:pPr>
              <w:jc w:val="center"/>
              <w:rPr>
                <w:color w:val="FFFFFF" w:themeColor="background1"/>
                <w:sz w:val="72"/>
                <w:szCs w:val="72"/>
              </w:rPr>
            </w:pPr>
            <w:r w:rsidRPr="0031483B">
              <w:rPr>
                <w:color w:val="FFFFFF" w:themeColor="background1"/>
                <w:sz w:val="72"/>
                <w:szCs w:val="72"/>
              </w:rPr>
              <w:t>Turf Tonic</w:t>
            </w:r>
          </w:p>
        </w:tc>
      </w:tr>
    </w:tbl>
    <w:p w14:paraId="20A98EBB" w14:textId="77777777" w:rsidR="00681B8D" w:rsidRPr="00681B8D" w:rsidRDefault="00681B8D" w:rsidP="00553A39">
      <w:pPr>
        <w:rPr>
          <w:b/>
          <w:sz w:val="20"/>
          <w:szCs w:val="20"/>
          <w:u w:val="single"/>
        </w:rPr>
      </w:pPr>
    </w:p>
    <w:p w14:paraId="596E5965" w14:textId="3B17F1F1" w:rsidR="0031483B" w:rsidRDefault="0031483B" w:rsidP="00553A39">
      <w:pPr>
        <w:rPr>
          <w:b/>
          <w:sz w:val="48"/>
          <w:szCs w:val="48"/>
          <w:u w:val="single"/>
        </w:rPr>
      </w:pPr>
      <w:r w:rsidRPr="0031483B">
        <w:rPr>
          <w:b/>
          <w:sz w:val="48"/>
          <w:szCs w:val="48"/>
          <w:u w:val="single"/>
        </w:rPr>
        <w:t>What</w:t>
      </w:r>
    </w:p>
    <w:p w14:paraId="1C66C6A7" w14:textId="403F25E8" w:rsidR="0031483B" w:rsidRDefault="0031483B" w:rsidP="00553A39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Turf Tonic is a compound fertiliser which is ideal for all year-round use.</w:t>
      </w:r>
    </w:p>
    <w:p w14:paraId="18CD8CA2" w14:textId="41F70B16" w:rsidR="0031483B" w:rsidRDefault="0031483B" w:rsidP="0031483B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Homogenous even sized granules for even nutrient distribution.</w:t>
      </w:r>
    </w:p>
    <w:p w14:paraId="71451B6C" w14:textId="3D710F8D" w:rsidR="0031483B" w:rsidRDefault="0031483B" w:rsidP="0031483B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Stimulates early season growth.</w:t>
      </w:r>
    </w:p>
    <w:p w14:paraId="356E75C8" w14:textId="318C9D20" w:rsidR="0031483B" w:rsidRDefault="0031483B" w:rsidP="0031483B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Replenishes nutrients lost through late season growth.</w:t>
      </w:r>
    </w:p>
    <w:p w14:paraId="7A74A9D1" w14:textId="2765B093" w:rsidR="0031483B" w:rsidRDefault="0031483B" w:rsidP="0031483B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Used as part of a moss control programme.</w:t>
      </w:r>
    </w:p>
    <w:p w14:paraId="0333BF90" w14:textId="4597A780" w:rsidR="0031483B" w:rsidRDefault="0031483B" w:rsidP="0031483B">
      <w:pPr>
        <w:pStyle w:val="ListParagraph"/>
        <w:numPr>
          <w:ilvl w:val="0"/>
          <w:numId w:val="10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Suitable for all sports, amenity and domestic lawn use.</w:t>
      </w:r>
    </w:p>
    <w:p w14:paraId="1500818B" w14:textId="726F5094" w:rsidR="0031483B" w:rsidRDefault="0031483B" w:rsidP="0031483B">
      <w:pPr>
        <w:rPr>
          <w:b/>
          <w:sz w:val="48"/>
          <w:szCs w:val="48"/>
          <w:u w:val="single"/>
        </w:rPr>
      </w:pPr>
      <w:r w:rsidRPr="0031483B">
        <w:rPr>
          <w:b/>
          <w:sz w:val="48"/>
          <w:szCs w:val="48"/>
          <w:u w:val="single"/>
        </w:rPr>
        <w:t>Why</w:t>
      </w:r>
    </w:p>
    <w:p w14:paraId="2678ACE0" w14:textId="626D1A32" w:rsidR="0031483B" w:rsidRDefault="0031483B" w:rsidP="0031483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Turf Tonic from Vitax Amenity, offers professional results, both by stimulating early </w:t>
      </w:r>
      <w:r w:rsidR="00517F08">
        <w:rPr>
          <w:bCs/>
          <w:sz w:val="28"/>
          <w:szCs w:val="28"/>
        </w:rPr>
        <w:t>S</w:t>
      </w:r>
      <w:r>
        <w:rPr>
          <w:bCs/>
          <w:sz w:val="28"/>
          <w:szCs w:val="28"/>
        </w:rPr>
        <w:t xml:space="preserve">pring growth </w:t>
      </w:r>
      <w:r w:rsidR="00517F08">
        <w:rPr>
          <w:bCs/>
          <w:sz w:val="28"/>
          <w:szCs w:val="28"/>
        </w:rPr>
        <w:t>and in Autumn by replenishing nutrients lost through late season growth while reducing Moss infestation and improving plant disease resistance.</w:t>
      </w:r>
    </w:p>
    <w:p w14:paraId="0E92E7D4" w14:textId="064044E2" w:rsidR="00517F08" w:rsidRDefault="00517F08" w:rsidP="00517F08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Stimulates plant growth and regeneration without the risk of excessive growth.</w:t>
      </w:r>
    </w:p>
    <w:p w14:paraId="6A9F3DC8" w14:textId="763CADAD" w:rsidR="00517F08" w:rsidRDefault="00517F08" w:rsidP="00517F08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Can be used all year round as part of a planned turf management programme.</w:t>
      </w:r>
    </w:p>
    <w:p w14:paraId="10DFB917" w14:textId="6E744F08" w:rsidR="00517F08" w:rsidRDefault="00517F08" w:rsidP="00517F08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Source of nutrients essential to stimulate healthy growth</w:t>
      </w:r>
      <w:r w:rsidR="00681B8D">
        <w:rPr>
          <w:bCs/>
          <w:sz w:val="28"/>
          <w:szCs w:val="28"/>
        </w:rPr>
        <w:t>.</w:t>
      </w:r>
    </w:p>
    <w:p w14:paraId="7F08E8BA" w14:textId="4C2D5DB9" w:rsidR="00681B8D" w:rsidRDefault="00681B8D" w:rsidP="00517F08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“Hardens turf” to help reinforce playing surface’s and improve disease resistance.</w:t>
      </w:r>
    </w:p>
    <w:p w14:paraId="03715528" w14:textId="79D4835D" w:rsidR="00681B8D" w:rsidRPr="00517F08" w:rsidRDefault="00681B8D" w:rsidP="00517F08">
      <w:pPr>
        <w:pStyle w:val="ListParagraph"/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Late Winter/Early Spring application for an early start to Spring Turf renovations.</w:t>
      </w:r>
    </w:p>
    <w:p w14:paraId="13BCEF65" w14:textId="77777777" w:rsidR="00C60618" w:rsidRDefault="00C60618" w:rsidP="0031483B">
      <w:pPr>
        <w:pStyle w:val="ListParagraph"/>
        <w:rPr>
          <w:b/>
          <w:sz w:val="48"/>
          <w:szCs w:val="48"/>
          <w:u w:val="single"/>
        </w:rPr>
      </w:pPr>
    </w:p>
    <w:p w14:paraId="7CEDEA9E" w14:textId="6A247582" w:rsidR="0031483B" w:rsidRDefault="00681B8D" w:rsidP="0031483B">
      <w:pPr>
        <w:pStyle w:val="ListParagraph"/>
        <w:rPr>
          <w:bCs/>
          <w:sz w:val="48"/>
          <w:szCs w:val="48"/>
        </w:rPr>
      </w:pPr>
      <w:r>
        <w:rPr>
          <w:b/>
          <w:sz w:val="48"/>
          <w:szCs w:val="48"/>
          <w:u w:val="single"/>
        </w:rPr>
        <w:lastRenderedPageBreak/>
        <w:t>When</w:t>
      </w:r>
    </w:p>
    <w:p w14:paraId="1BE41CF6" w14:textId="10E85FFF" w:rsidR="00681B8D" w:rsidRDefault="00681B8D" w:rsidP="0031483B">
      <w:pPr>
        <w:pStyle w:val="ListParagraph"/>
        <w:rPr>
          <w:bCs/>
          <w:sz w:val="28"/>
          <w:szCs w:val="28"/>
        </w:rPr>
      </w:pPr>
    </w:p>
    <w:p w14:paraId="3DB7652C" w14:textId="0E62793E" w:rsidR="00681B8D" w:rsidRDefault="00681B8D" w:rsidP="0031483B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Can be used all year round as part of a managed turf programme</w:t>
      </w:r>
      <w:r w:rsidR="00F543B9">
        <w:rPr>
          <w:bCs/>
          <w:sz w:val="28"/>
          <w:szCs w:val="28"/>
        </w:rPr>
        <w:t xml:space="preserve">, or as an early spring growth stimulant or </w:t>
      </w:r>
      <w:r w:rsidR="00B724D4">
        <w:rPr>
          <w:bCs/>
          <w:sz w:val="28"/>
          <w:szCs w:val="28"/>
        </w:rPr>
        <w:t xml:space="preserve">for </w:t>
      </w:r>
      <w:r w:rsidR="00F543B9">
        <w:rPr>
          <w:bCs/>
          <w:sz w:val="28"/>
          <w:szCs w:val="28"/>
        </w:rPr>
        <w:t xml:space="preserve">Autumn and Winter nutrient replenishment. </w:t>
      </w:r>
    </w:p>
    <w:p w14:paraId="15C1DF3B" w14:textId="499D8D89" w:rsidR="0013130F" w:rsidRDefault="0013130F" w:rsidP="0031483B">
      <w:pPr>
        <w:pStyle w:val="ListParagraph"/>
        <w:rPr>
          <w:bCs/>
          <w:sz w:val="28"/>
          <w:szCs w:val="28"/>
        </w:rPr>
      </w:pPr>
    </w:p>
    <w:p w14:paraId="3C4B95F7" w14:textId="4EA043C4" w:rsidR="0013130F" w:rsidRDefault="0013130F" w:rsidP="0031483B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Best results may be achieved when soils are moist, try to avoid periods of prolonged dry conditions</w:t>
      </w:r>
      <w:r w:rsidR="00C60618">
        <w:rPr>
          <w:bCs/>
          <w:sz w:val="28"/>
          <w:szCs w:val="28"/>
        </w:rPr>
        <w:t>.</w:t>
      </w:r>
    </w:p>
    <w:p w14:paraId="75549F07" w14:textId="4A65B944" w:rsidR="00C60618" w:rsidRDefault="00C60618" w:rsidP="0031483B">
      <w:pPr>
        <w:pStyle w:val="ListParagraph"/>
        <w:rPr>
          <w:bCs/>
          <w:sz w:val="28"/>
          <w:szCs w:val="28"/>
        </w:rPr>
      </w:pPr>
    </w:p>
    <w:p w14:paraId="3B814AEF" w14:textId="77777777" w:rsidR="00C60618" w:rsidRDefault="00C60618" w:rsidP="0031483B">
      <w:pPr>
        <w:pStyle w:val="ListParagraph"/>
        <w:rPr>
          <w:bCs/>
          <w:sz w:val="28"/>
          <w:szCs w:val="28"/>
        </w:rPr>
      </w:pPr>
    </w:p>
    <w:p w14:paraId="3513623D" w14:textId="429F98A5" w:rsidR="0013130F" w:rsidRPr="00C60618" w:rsidRDefault="00C60618" w:rsidP="0031483B">
      <w:pPr>
        <w:pStyle w:val="ListParagraph"/>
        <w:rPr>
          <w:b/>
          <w:sz w:val="48"/>
          <w:szCs w:val="48"/>
          <w:u w:val="single"/>
        </w:rPr>
      </w:pPr>
      <w:r w:rsidRPr="00C60618">
        <w:rPr>
          <w:b/>
          <w:sz w:val="48"/>
          <w:szCs w:val="48"/>
          <w:u w:val="single"/>
        </w:rPr>
        <w:t>Application</w:t>
      </w:r>
    </w:p>
    <w:p w14:paraId="7FAFD12C" w14:textId="1ABD0EDA" w:rsidR="00C60618" w:rsidRDefault="00C60618" w:rsidP="0031483B">
      <w:pPr>
        <w:pStyle w:val="ListParagraph"/>
        <w:rPr>
          <w:bCs/>
          <w:sz w:val="28"/>
          <w:szCs w:val="28"/>
        </w:rPr>
      </w:pPr>
    </w:p>
    <w:p w14:paraId="61EF890D" w14:textId="589F6535" w:rsidR="00C60618" w:rsidRDefault="00C60618" w:rsidP="0031483B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Recommended application rate of 35kg/1000m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 xml:space="preserve"> (35gms/M</w:t>
      </w:r>
      <w:r>
        <w:rPr>
          <w:bCs/>
          <w:sz w:val="28"/>
          <w:szCs w:val="28"/>
          <w:vertAlign w:val="superscript"/>
        </w:rPr>
        <w:t>2</w:t>
      </w:r>
      <w:r>
        <w:rPr>
          <w:bCs/>
          <w:sz w:val="28"/>
          <w:szCs w:val="28"/>
        </w:rPr>
        <w:t>).</w:t>
      </w:r>
    </w:p>
    <w:p w14:paraId="75FA82C2" w14:textId="26774AE2" w:rsidR="00C60618" w:rsidRDefault="00C60618" w:rsidP="0031483B">
      <w:pPr>
        <w:pStyle w:val="ListParagraph"/>
        <w:rPr>
          <w:bCs/>
          <w:sz w:val="28"/>
          <w:szCs w:val="28"/>
        </w:rPr>
      </w:pPr>
    </w:p>
    <w:p w14:paraId="49808410" w14:textId="4BC0CCE6" w:rsidR="00C60618" w:rsidRDefault="00C60618" w:rsidP="0031483B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For heavy moss infestations seek advice.</w:t>
      </w:r>
    </w:p>
    <w:p w14:paraId="3E8169CC" w14:textId="05C49393" w:rsidR="00C60618" w:rsidRDefault="00C60618" w:rsidP="0031483B">
      <w:pPr>
        <w:pStyle w:val="ListParagraph"/>
        <w:rPr>
          <w:bCs/>
          <w:sz w:val="28"/>
          <w:szCs w:val="28"/>
        </w:rPr>
      </w:pPr>
    </w:p>
    <w:p w14:paraId="615E276C" w14:textId="52A49884" w:rsidR="00C60618" w:rsidRDefault="00C60618" w:rsidP="0031483B">
      <w:pPr>
        <w:pStyle w:val="ListParagraph"/>
        <w:rPr>
          <w:b/>
          <w:sz w:val="48"/>
          <w:szCs w:val="48"/>
          <w:u w:val="single"/>
        </w:rPr>
      </w:pPr>
      <w:r w:rsidRPr="00C60618">
        <w:rPr>
          <w:b/>
          <w:sz w:val="48"/>
          <w:szCs w:val="48"/>
          <w:u w:val="single"/>
        </w:rPr>
        <w:t>Formulation</w:t>
      </w:r>
    </w:p>
    <w:p w14:paraId="0F7BE9E8" w14:textId="1FC9169D" w:rsidR="00C60618" w:rsidRDefault="00C60618" w:rsidP="0031483B">
      <w:pPr>
        <w:pStyle w:val="ListParagraph"/>
        <w:rPr>
          <w:b/>
          <w:sz w:val="48"/>
          <w:szCs w:val="48"/>
          <w:u w:val="single"/>
        </w:rPr>
      </w:pPr>
    </w:p>
    <w:p w14:paraId="00755AC2" w14:textId="0FA61F7A" w:rsidR="00C60618" w:rsidRPr="00C60618" w:rsidRDefault="00C60618" w:rsidP="0031483B">
      <w:pPr>
        <w:pStyle w:val="ListParagraph"/>
        <w:rPr>
          <w:bCs/>
          <w:sz w:val="28"/>
          <w:szCs w:val="28"/>
        </w:rPr>
      </w:pPr>
      <w:r>
        <w:rPr>
          <w:bCs/>
          <w:sz w:val="28"/>
          <w:szCs w:val="28"/>
        </w:rPr>
        <w:t>2.1 N: 0 P: 2.5 K + 3% Fe</w:t>
      </w:r>
    </w:p>
    <w:p w14:paraId="0EEC32C0" w14:textId="1C8FC7D2" w:rsidR="00681B8D" w:rsidRPr="00C60618" w:rsidRDefault="00681B8D" w:rsidP="0031483B">
      <w:pPr>
        <w:pStyle w:val="ListParagraph"/>
        <w:rPr>
          <w:b/>
          <w:sz w:val="48"/>
          <w:szCs w:val="48"/>
          <w:u w:val="single"/>
        </w:rPr>
      </w:pPr>
    </w:p>
    <w:sectPr w:rsidR="00681B8D" w:rsidRPr="00C60618" w:rsidSect="00B724D4">
      <w:pgSz w:w="11906" w:h="16838"/>
      <w:pgMar w:top="1418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56E"/>
    <w:multiLevelType w:val="hybridMultilevel"/>
    <w:tmpl w:val="BB7AD3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4588A"/>
    <w:multiLevelType w:val="hybridMultilevel"/>
    <w:tmpl w:val="7F5692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029F3"/>
    <w:multiLevelType w:val="hybridMultilevel"/>
    <w:tmpl w:val="2A02F72A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774AF"/>
    <w:multiLevelType w:val="hybridMultilevel"/>
    <w:tmpl w:val="433846DC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98266D"/>
    <w:multiLevelType w:val="hybridMultilevel"/>
    <w:tmpl w:val="C78036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71AD7"/>
    <w:multiLevelType w:val="hybridMultilevel"/>
    <w:tmpl w:val="7F7656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484601"/>
    <w:multiLevelType w:val="hybridMultilevel"/>
    <w:tmpl w:val="987A0E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3536E"/>
    <w:multiLevelType w:val="hybridMultilevel"/>
    <w:tmpl w:val="F0A478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13921"/>
    <w:multiLevelType w:val="hybridMultilevel"/>
    <w:tmpl w:val="E4C86E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F0301F"/>
    <w:multiLevelType w:val="hybridMultilevel"/>
    <w:tmpl w:val="4BEE53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E51CA1"/>
    <w:multiLevelType w:val="hybridMultilevel"/>
    <w:tmpl w:val="B1766C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9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260F"/>
    <w:rsid w:val="00001FDA"/>
    <w:rsid w:val="00016327"/>
    <w:rsid w:val="000207D0"/>
    <w:rsid w:val="00033C15"/>
    <w:rsid w:val="00050B2B"/>
    <w:rsid w:val="000937B2"/>
    <w:rsid w:val="000C385C"/>
    <w:rsid w:val="000C5C77"/>
    <w:rsid w:val="000E3B10"/>
    <w:rsid w:val="000F0A72"/>
    <w:rsid w:val="00103B36"/>
    <w:rsid w:val="0013130F"/>
    <w:rsid w:val="00164B16"/>
    <w:rsid w:val="001B3A29"/>
    <w:rsid w:val="001B4596"/>
    <w:rsid w:val="001D1F52"/>
    <w:rsid w:val="002027B1"/>
    <w:rsid w:val="00260ACC"/>
    <w:rsid w:val="00274580"/>
    <w:rsid w:val="00280F1D"/>
    <w:rsid w:val="002B07B9"/>
    <w:rsid w:val="002B72E6"/>
    <w:rsid w:val="002D1F59"/>
    <w:rsid w:val="0031483B"/>
    <w:rsid w:val="0036035E"/>
    <w:rsid w:val="003A1C78"/>
    <w:rsid w:val="0049611C"/>
    <w:rsid w:val="00513B86"/>
    <w:rsid w:val="00517F08"/>
    <w:rsid w:val="00547667"/>
    <w:rsid w:val="00553A39"/>
    <w:rsid w:val="0056041D"/>
    <w:rsid w:val="00585432"/>
    <w:rsid w:val="0065613B"/>
    <w:rsid w:val="00681B8D"/>
    <w:rsid w:val="00732D61"/>
    <w:rsid w:val="007514C0"/>
    <w:rsid w:val="00751B7C"/>
    <w:rsid w:val="007A16A4"/>
    <w:rsid w:val="007D7B3B"/>
    <w:rsid w:val="0085034C"/>
    <w:rsid w:val="008A39A3"/>
    <w:rsid w:val="0090281B"/>
    <w:rsid w:val="009553EF"/>
    <w:rsid w:val="00963AFC"/>
    <w:rsid w:val="00976434"/>
    <w:rsid w:val="009771D9"/>
    <w:rsid w:val="00994F2D"/>
    <w:rsid w:val="009D64F4"/>
    <w:rsid w:val="00A20BC9"/>
    <w:rsid w:val="00A63A2E"/>
    <w:rsid w:val="00A73590"/>
    <w:rsid w:val="00A85455"/>
    <w:rsid w:val="00B724D4"/>
    <w:rsid w:val="00BB4481"/>
    <w:rsid w:val="00BF65B9"/>
    <w:rsid w:val="00C0327C"/>
    <w:rsid w:val="00C2323E"/>
    <w:rsid w:val="00C528E1"/>
    <w:rsid w:val="00C60618"/>
    <w:rsid w:val="00CE27E8"/>
    <w:rsid w:val="00CF0C27"/>
    <w:rsid w:val="00D301BB"/>
    <w:rsid w:val="00D44E78"/>
    <w:rsid w:val="00D45DD8"/>
    <w:rsid w:val="00D5426D"/>
    <w:rsid w:val="00DD4B2C"/>
    <w:rsid w:val="00E5083F"/>
    <w:rsid w:val="00E60A30"/>
    <w:rsid w:val="00E82002"/>
    <w:rsid w:val="00E8260F"/>
    <w:rsid w:val="00E95FF6"/>
    <w:rsid w:val="00EC4627"/>
    <w:rsid w:val="00ED0C5D"/>
    <w:rsid w:val="00EF2902"/>
    <w:rsid w:val="00F543B9"/>
    <w:rsid w:val="00F87628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7AE4BA2"/>
  <w15:docId w15:val="{0A089056-CDFE-4EC8-AA09-57A1C3A7DD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028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0B2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5C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C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unhideWhenUsed/>
    <w:rsid w:val="00C03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5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5BB7C-F0B2-4BEE-90DD-F4F0443FC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3322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Wingfield</dc:creator>
  <cp:keywords/>
  <dc:description/>
  <cp:lastModifiedBy>Graham Wingfield</cp:lastModifiedBy>
  <cp:revision>1</cp:revision>
  <cp:lastPrinted>2019-09-02T06:30:00Z</cp:lastPrinted>
  <dcterms:created xsi:type="dcterms:W3CDTF">2018-03-21T09:34:00Z</dcterms:created>
  <dcterms:modified xsi:type="dcterms:W3CDTF">2019-09-02T07:00:00Z</dcterms:modified>
</cp:coreProperties>
</file>